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Presupuesto para financiamiento</w:t>
      </w: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3"/>
        <w:gridCol w:w="2161"/>
        <w:gridCol w:w="2161"/>
        <w:gridCol w:w="2981"/>
        <w:tblGridChange w:id="0">
          <w:tblGrid>
            <w:gridCol w:w="2053"/>
            <w:gridCol w:w="2161"/>
            <w:gridCol w:w="2161"/>
            <w:gridCol w:w="29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RUBRO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DETALLE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Solicitado a la SEU</w:t>
            </w:r>
            <w:r w:rsidDel="00000000" w:rsidR="00000000" w:rsidRPr="00000000">
              <w:rPr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Provisto por otras fuentes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MONTO TOTAL $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(Insertar tantas filas como sean necesarias.)</w:t>
      </w:r>
    </w:p>
    <w:p w:rsidR="00000000" w:rsidDel="00000000" w:rsidP="00000000" w:rsidRDefault="00000000" w:rsidRPr="00000000" w14:paraId="00000020">
      <w:pPr>
        <w:rPr/>
      </w:pPr>
      <w:bookmarkStart w:colFirst="0" w:colLast="0" w:name="_heading=h.ame9b04epp1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Cuestiones normativas a considerar: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Artículo 17º: Destino de los fondos del subsidio a PGAAC. Sólo financiará gastos de funcionamiento justificados estrictamente por el plan de actividades propuesto.</w:t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subsidios otorgados podrán financiar únicamente los siguientes rubros:</w:t>
      </w:r>
    </w:p>
    <w:p w:rsidR="00000000" w:rsidDel="00000000" w:rsidP="00000000" w:rsidRDefault="00000000" w:rsidRPr="00000000" w14:paraId="00000025">
      <w:pPr>
        <w:spacing w:after="0" w:lineRule="auto"/>
        <w:ind w:left="14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Bienes de consumo y servicios.</w:t>
      </w:r>
    </w:p>
    <w:p w:rsidR="00000000" w:rsidDel="00000000" w:rsidP="00000000" w:rsidRDefault="00000000" w:rsidRPr="00000000" w14:paraId="00000026">
      <w:pPr>
        <w:spacing w:after="0" w:lineRule="auto"/>
        <w:ind w:left="14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Bibliografía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7">
      <w:pPr>
        <w:spacing w:after="0" w:lineRule="auto"/>
        <w:ind w:left="14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Equipamiento.</w:t>
      </w:r>
    </w:p>
    <w:p w:rsidR="00000000" w:rsidDel="00000000" w:rsidP="00000000" w:rsidRDefault="00000000" w:rsidRPr="00000000" w14:paraId="00000028">
      <w:pPr>
        <w:spacing w:after="0" w:lineRule="auto"/>
        <w:ind w:left="14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Gastos para la publicación de los resultados del proyecto.</w:t>
      </w:r>
    </w:p>
    <w:p w:rsidR="00000000" w:rsidDel="00000000" w:rsidP="00000000" w:rsidRDefault="00000000" w:rsidRPr="00000000" w14:paraId="00000029">
      <w:pPr>
        <w:spacing w:after="0" w:lineRule="auto"/>
        <w:ind w:left="14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Gastos de servicios técnicos especializados para el proyecto.</w:t>
      </w:r>
    </w:p>
    <w:p w:rsidR="00000000" w:rsidDel="00000000" w:rsidP="00000000" w:rsidRDefault="00000000" w:rsidRPr="00000000" w14:paraId="0000002A">
      <w:pPr>
        <w:spacing w:after="0" w:lineRule="auto"/>
        <w:ind w:left="14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Gastos de movilidad y comida que, relacionados con el proyecto, utilicen los integrantes del equipo de trabajo.</w:t>
      </w:r>
    </w:p>
    <w:p w:rsidR="00000000" w:rsidDel="00000000" w:rsidP="00000000" w:rsidRDefault="00000000" w:rsidRPr="00000000" w14:paraId="0000002B">
      <w:pPr>
        <w:spacing w:after="0" w:lineRule="auto"/>
        <w:rPr>
          <w:b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ningún caso el monto de gastos de cada rubro particular podrá ser superior al 30% del subsidio total, excepto en el rubro equipamiento que podrá llegar hasta el 35%.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Artículo 19º. El destino de bienes no consumibles, deberá estar previsto y debidamente justificado en el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proyecto.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El total a cargo de la SEU no podrá superar el límite indicado en la convocatoria.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3028950</wp:posOffset>
          </wp:positionH>
          <wp:positionV relativeFrom="page">
            <wp:posOffset>116205</wp:posOffset>
          </wp:positionV>
          <wp:extent cx="1925963" cy="96001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5963" cy="9600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05C2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05C2C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9B087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B087F"/>
  </w:style>
  <w:style w:type="paragraph" w:styleId="Piedepgina">
    <w:name w:val="footer"/>
    <w:basedOn w:val="Normal"/>
    <w:link w:val="PiedepginaCar"/>
    <w:uiPriority w:val="99"/>
    <w:unhideWhenUsed w:val="1"/>
    <w:rsid w:val="009B087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B087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oRjFNDOuGRKcZA0fmsk7Zodzg==">CgMxLjAyCGguZ2pkZ3hzMg5oLmFtZTliMDRlcHAxOTIIaC5namRneHM4AHIhMS1TT0EycHU2UDE2Q2lmYi1NLVNCaG1EdkhiVU50Q2Fk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2020-12-02T12:40:00Z</dcterms:created>
  <dc:creator>Juanjo</dc:creator>
</cp:coreProperties>
</file>